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58" w:rsidRDefault="00EA3858" w:rsidP="00EA3858">
      <w:pPr>
        <w:outlineLvl w:val="0"/>
      </w:pPr>
      <w:r>
        <w:rPr>
          <w:b/>
          <w:bCs/>
        </w:rPr>
        <w:t>:</w:t>
      </w:r>
      <w:r>
        <w:t xml:space="preserve"> EFN - </w:t>
      </w:r>
      <w:proofErr w:type="spellStart"/>
      <w:r>
        <w:t>EfCCNa</w:t>
      </w:r>
      <w:proofErr w:type="spellEnd"/>
      <w:r>
        <w:t xml:space="preserve"> - </w:t>
      </w:r>
      <w:proofErr w:type="spellStart"/>
      <w:r>
        <w:t>EuSEN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on COVID-19 </w:t>
      </w:r>
      <w:proofErr w:type="spellStart"/>
      <w:r>
        <w:t>Preparedness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Urgent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Nurses</w:t>
      </w:r>
      <w:proofErr w:type="spellEnd"/>
      <w:r>
        <w:t xml:space="preserve"> - </w:t>
      </w:r>
      <w:proofErr w:type="spellStart"/>
      <w:r>
        <w:t>March</w:t>
      </w:r>
      <w:proofErr w:type="spellEnd"/>
      <w:r>
        <w:t xml:space="preserve"> 2020</w:t>
      </w:r>
    </w:p>
    <w:p w:rsidR="00EA3858" w:rsidRDefault="00EA3858" w:rsidP="00EA3858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3858" w:rsidTr="00EA385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  <w:gridCol w:w="1410"/>
              <w:gridCol w:w="1290"/>
              <w:gridCol w:w="1260"/>
              <w:gridCol w:w="1860"/>
            </w:tblGrid>
            <w:tr w:rsidR="00EA3858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5715000" cy="1314450"/>
                        <wp:effectExtent l="0" t="0" r="0" b="0"/>
                        <wp:docPr id="7" name="Slika 7" descr="EFN H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FN H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3858">
              <w:trPr>
                <w:trHeight w:val="1800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EA3858" w:rsidRDefault="00EA3858">
                  <w:pPr>
                    <w:ind w:right="210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European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Federation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Nurses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Associations</w:t>
                  </w:r>
                  <w:proofErr w:type="spellEnd"/>
                </w:p>
                <w:p w:rsidR="00EA3858" w:rsidRDefault="00EA3858">
                  <w:pPr>
                    <w:ind w:right="210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European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federation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Critical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Care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Nursing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Associations</w:t>
                  </w:r>
                  <w:proofErr w:type="spellEnd"/>
                </w:p>
                <w:p w:rsidR="00EA3858" w:rsidRDefault="00EA3858">
                  <w:pPr>
                    <w:ind w:right="210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European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Society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Emergency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Nursing</w:t>
                  </w:r>
                  <w:proofErr w:type="spellEnd"/>
                </w:p>
                <w:p w:rsidR="00EA3858" w:rsidRDefault="00EA3858">
                  <w:pPr>
                    <w:pStyle w:val="normalparagraphstyle"/>
                    <w:spacing w:line="240" w:lineRule="auto"/>
                    <w:ind w:right="210"/>
                  </w:pPr>
                  <w:r>
                    <w:rPr>
                      <w:rFonts w:ascii="Calibri" w:hAnsi="Calibri" w:cs="Calibri"/>
                      <w:i/>
                      <w:iCs/>
                      <w:lang w:val="en-GB"/>
                    </w:rPr>
                    <w:t>26 March 2020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EFN - </w:t>
                  </w:r>
                  <w:bookmarkStart w:id="0" w:name="_Hlk36099403"/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EfCCNa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EuSEN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bookmarkEnd w:id="0"/>
                  <w:r>
                    <w:rPr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 xml:space="preserve">Joint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Statement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on 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COVID-19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Preparedness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and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the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Urgent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Need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to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Protect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Frontline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Nurses</w:t>
                  </w:r>
                  <w:proofErr w:type="spellEnd"/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both"/>
                    <w:textAlignment w:val="baseline"/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COVID-19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pandemic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is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currently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taking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toll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on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citizens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healthcare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systems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European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Union (EU). But,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above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it is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having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huge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negative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impact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on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are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doing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their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job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worse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conditions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than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ever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before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lacking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enough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proper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protective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equipment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often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getting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infected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virus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themselves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deadly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consequences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in some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cases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both"/>
                    <w:textAlignment w:val="baseline"/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that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EFN,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EfCCNa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EuSEN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call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on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institutions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national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governments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health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industry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other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health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stakeholders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to: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Minimise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public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procurements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procedures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bare minimum,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ensuring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that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right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equipment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e.g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., FFP2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masks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mechanical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respirators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) is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accessible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It is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key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distribution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stays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transparent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proportioned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Member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States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Allocate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necessary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funds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support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institutions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should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re-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arrange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already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agreed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budgets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inject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funds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into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Act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through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media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social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media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against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stigmatisation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taking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care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COVID-19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patients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Start monitoring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number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that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are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infected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COVID-19 at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workplace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register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number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those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who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passed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away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because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infection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Foster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co-creation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-design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political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decision-making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processes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concerning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IDHC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preparedness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protocols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training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selection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appropriate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materials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6.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Work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closely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profession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develop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policies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that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project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staff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from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unnecessarily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difficult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unsafe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working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conditions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particularly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when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caring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COVID-19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patients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7.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Commit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preventing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future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outbreaks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from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becoming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epidemics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engaging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design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policies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procedures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coordination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needs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improve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capacity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prevent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protect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against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detect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report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respond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public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health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emergencies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8.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Ensure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appropriate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mechanisms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psychological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care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who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are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experiencing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extreme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anxiety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stress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during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crisis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as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well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as post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factum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prevent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treat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post-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traumatic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stress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disorder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567" w:right="210" w:hanging="386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Provide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nurses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additional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training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strategies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helping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patients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cope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isolation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lack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family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visiting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fear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death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left="383" w:right="210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both"/>
                    <w:textAlignment w:val="baseline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EFN,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EfCCNa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EuSEN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recognise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value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efforts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funds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put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together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European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Commission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health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industry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research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 COVID-19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vaccine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treatment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But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remind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Commission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that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most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critical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situation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is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now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Therefore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remain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at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full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disposal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European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Commission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to make sure EU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decision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reflect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frontline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views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making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Actions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fit-for-purpose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EA3858" w:rsidRDefault="00EA3858">
                  <w:pPr>
                    <w:ind w:right="210"/>
                    <w:jc w:val="both"/>
                  </w:pPr>
                  <w:r>
                    <w:rPr>
                      <w:color w:val="000000"/>
                    </w:rPr>
                    <w:t> </w:t>
                  </w:r>
                </w:p>
                <w:p w:rsidR="00EA3858" w:rsidRDefault="00EA3858">
                  <w:pPr>
                    <w:ind w:right="210"/>
                    <w:jc w:val="both"/>
                  </w:pPr>
                  <w:proofErr w:type="spellStart"/>
                  <w:r>
                    <w:rPr>
                      <w:i/>
                      <w:iCs/>
                      <w:color w:val="000000"/>
                    </w:rPr>
                    <w:t>Contact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i/>
                      <w:iCs/>
                      <w:color w:val="000000"/>
                      <w:lang w:val="en-US"/>
                    </w:rPr>
                    <w:t>Bronagh</w:t>
                  </w:r>
                  <w:proofErr w:type="spellEnd"/>
                  <w:r>
                    <w:rPr>
                      <w:i/>
                      <w:iCs/>
                      <w:color w:val="000000"/>
                      <w:lang w:val="en-US"/>
                    </w:rPr>
                    <w:t xml:space="preserve"> Blackwood, </w:t>
                  </w:r>
                  <w:hyperlink r:id="rId5" w:history="1">
                    <w:r>
                      <w:rPr>
                        <w:rStyle w:val="Hiperpovezava"/>
                        <w:i/>
                        <w:iCs/>
                        <w:lang w:val="en-US"/>
                      </w:rPr>
                      <w:t>b.blackwood@qub.ac.uk</w:t>
                    </w:r>
                  </w:hyperlink>
                  <w:r>
                    <w:rPr>
                      <w:i/>
                      <w:iCs/>
                      <w:color w:val="000000"/>
                      <w:lang w:val="en-US"/>
                    </w:rPr>
                    <w:t xml:space="preserve">;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Door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Lauwaert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, </w:t>
                  </w:r>
                  <w:hyperlink r:id="rId6" w:history="1">
                    <w:r>
                      <w:rPr>
                        <w:rStyle w:val="Hiperpovezava"/>
                        <w:i/>
                        <w:iCs/>
                      </w:rPr>
                      <w:t>Door.Lauwaert@uzbrussel.be</w:t>
                    </w:r>
                  </w:hyperlink>
                  <w:r>
                    <w:rPr>
                      <w:i/>
                      <w:iCs/>
                      <w:color w:val="000000"/>
                    </w:rPr>
                    <w:t xml:space="preserve">;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and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Paul De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Raeve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, </w:t>
                  </w:r>
                  <w:hyperlink r:id="rId7" w:history="1">
                    <w:r>
                      <w:rPr>
                        <w:rStyle w:val="Hiperpovezava"/>
                        <w:i/>
                        <w:iCs/>
                      </w:rPr>
                      <w:t>efn@efn.be</w:t>
                    </w:r>
                  </w:hyperlink>
                </w:p>
                <w:p w:rsidR="00EA3858" w:rsidRDefault="00EA3858">
                  <w:pPr>
                    <w:ind w:right="210"/>
                    <w:jc w:val="both"/>
                  </w:pPr>
                  <w:r>
                    <w:rPr>
                      <w:color w:val="000000"/>
                    </w:rPr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***END***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both"/>
                  </w:pPr>
                  <w:r>
                    <w:rPr>
                      <w:i/>
                      <w:iCs/>
                      <w:color w:val="000000"/>
                      <w:sz w:val="19"/>
                      <w:szCs w:val="19"/>
                    </w:rPr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both"/>
                  </w:pP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We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are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happy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to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count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among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EFN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contacts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We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respect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your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data in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conformity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new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GDPR.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However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if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prefer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not to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receive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any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information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from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EFN,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please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just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answer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this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message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‘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Unsubscribe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’ as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subject</w:t>
                  </w:r>
                  <w:proofErr w:type="spellEnd"/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.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p w:rsidR="00EA3858" w:rsidRDefault="00EA3858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A3858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5715000" cy="895350"/>
                        <wp:effectExtent l="0" t="0" r="0" b="0"/>
                        <wp:docPr id="6" name="Slika 6" descr="EFN 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FN 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38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2057400" cy="133350"/>
                        <wp:effectExtent l="0" t="0" r="0" b="0"/>
                        <wp:docPr id="5" name="Slika 5" descr="EFN 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FN 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  <w:color w:val="7D378A"/>
                    </w:rPr>
                    <w:drawing>
                      <wp:inline distT="0" distB="0" distL="0" distR="0">
                        <wp:extent cx="885825" cy="133350"/>
                        <wp:effectExtent l="0" t="0" r="9525" b="0"/>
                        <wp:docPr id="4" name="Slika 4" descr="EFN Website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FN 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809625" cy="133350"/>
                        <wp:effectExtent l="0" t="0" r="9525" b="0"/>
                        <wp:docPr id="3" name="Slika 3" descr="EFN 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FN 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  <w:color w:val="7D378A"/>
                    </w:rPr>
                    <w:drawing>
                      <wp:inline distT="0" distB="0" distL="0" distR="0">
                        <wp:extent cx="790575" cy="133350"/>
                        <wp:effectExtent l="0" t="0" r="9525" b="0"/>
                        <wp:docPr id="2" name="Slika 2" descr="EU Health Portal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U Health Port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1171575" cy="133350"/>
                        <wp:effectExtent l="0" t="0" r="9525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3858">
              <w:trPr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EA3858" w:rsidRDefault="00EA3858"/>
              </w:tc>
            </w:tr>
          </w:tbl>
          <w:p w:rsidR="00EA3858" w:rsidRDefault="00EA38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33CF" w:rsidRDefault="006833CF">
      <w:bookmarkStart w:id="1" w:name="_GoBack"/>
      <w:bookmarkEnd w:id="1"/>
    </w:p>
    <w:sectPr w:rsidR="0068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58"/>
    <w:rsid w:val="006833CF"/>
    <w:rsid w:val="00E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1A892-7C02-4666-A17E-C9D1B0F2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A3858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A3858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EA3858"/>
    <w:pPr>
      <w:spacing w:before="100" w:beforeAutospacing="1" w:after="100" w:afterAutospacing="1"/>
    </w:pPr>
  </w:style>
  <w:style w:type="paragraph" w:customStyle="1" w:styleId="normalparagraphstyle">
    <w:name w:val="normalparagraphstyle"/>
    <w:basedOn w:val="Navaden"/>
    <w:uiPriority w:val="99"/>
    <w:semiHidden/>
    <w:rsid w:val="00EA3858"/>
    <w:pPr>
      <w:autoSpaceDE w:val="0"/>
      <w:autoSpaceDN w:val="0"/>
      <w:spacing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ec.europa.eu/health-eu/index_e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fn@efn.be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oor.Lauwaert@uzbrussel.be" TargetMode="External"/><Relationship Id="rId11" Type="http://schemas.openxmlformats.org/officeDocument/2006/relationships/image" Target="media/image4.gif"/><Relationship Id="rId5" Type="http://schemas.openxmlformats.org/officeDocument/2006/relationships/hyperlink" Target="mailto:b.blackwood@qub.ac.uk" TargetMode="External"/><Relationship Id="rId15" Type="http://schemas.openxmlformats.org/officeDocument/2006/relationships/image" Target="media/image7.gif"/><Relationship Id="rId10" Type="http://schemas.openxmlformats.org/officeDocument/2006/relationships/hyperlink" Target="http://www.efnweb.b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Zupančič</dc:creator>
  <cp:keywords/>
  <dc:description/>
  <cp:lastModifiedBy>Vesna Zupančič</cp:lastModifiedBy>
  <cp:revision>1</cp:revision>
  <dcterms:created xsi:type="dcterms:W3CDTF">2020-03-30T05:51:00Z</dcterms:created>
  <dcterms:modified xsi:type="dcterms:W3CDTF">2020-03-30T05:53:00Z</dcterms:modified>
</cp:coreProperties>
</file>